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E4" w:rsidRPr="0089341A" w:rsidRDefault="00EF13E4" w:rsidP="00EF13E4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Приложение </w:t>
      </w:r>
    </w:p>
    <w:p w:rsidR="00EF13E4" w:rsidRPr="0089341A" w:rsidRDefault="00EF13E4" w:rsidP="00EF13E4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к решению Думы </w:t>
      </w:r>
    </w:p>
    <w:p w:rsidR="00EF13E4" w:rsidRPr="0089341A" w:rsidRDefault="00EF13E4" w:rsidP="00EF13E4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:rsidR="00EF13E4" w:rsidRPr="00EE6A15" w:rsidRDefault="00EF13E4" w:rsidP="00EF13E4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>от «</w:t>
      </w:r>
      <w:r>
        <w:rPr>
          <w:u w:val="single"/>
        </w:rPr>
        <w:t xml:space="preserve"> 17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 xml:space="preserve">5г. № </w:t>
      </w:r>
      <w:r>
        <w:rPr>
          <w:u w:val="single"/>
        </w:rPr>
        <w:t xml:space="preserve"> 38-625</w:t>
      </w:r>
    </w:p>
    <w:p w:rsidR="00EF13E4" w:rsidRDefault="00EF13E4" w:rsidP="00EF13E4">
      <w:pPr>
        <w:pStyle w:val="ConsPlusNormal"/>
        <w:ind w:right="-284"/>
        <w:outlineLvl w:val="1"/>
        <w:rPr>
          <w:szCs w:val="24"/>
        </w:rPr>
      </w:pPr>
    </w:p>
    <w:p w:rsidR="00EF13E4" w:rsidRPr="00D07102" w:rsidRDefault="00EF13E4" w:rsidP="00EF13E4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3</w:t>
      </w:r>
    </w:p>
    <w:p w:rsidR="00EF13E4" w:rsidRDefault="00EF13E4" w:rsidP="00EF13E4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:rsidR="00EF13E4" w:rsidRDefault="00EF13E4" w:rsidP="00EF13E4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</w:t>
      </w:r>
      <w:proofErr w:type="gramStart"/>
      <w:r w:rsidRPr="00D07102">
        <w:rPr>
          <w:szCs w:val="24"/>
        </w:rPr>
        <w:t xml:space="preserve">контроле </w:t>
      </w:r>
      <w:r w:rsidRPr="005D67AC">
        <w:rPr>
          <w:rFonts w:eastAsia="Calibri"/>
          <w:lang w:eastAsia="en-US"/>
        </w:rPr>
        <w:t>за</w:t>
      </w:r>
      <w:proofErr w:type="gramEnd"/>
      <w:r w:rsidRPr="005D67AC">
        <w:rPr>
          <w:rFonts w:eastAsia="Calibri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города-курорта</w:t>
      </w:r>
      <w:r>
        <w:rPr>
          <w:rFonts w:eastAsia="Calibri"/>
          <w:lang w:eastAsia="en-US"/>
        </w:rPr>
        <w:t xml:space="preserve"> Кисловодска</w:t>
      </w:r>
      <w:r w:rsidRPr="00D07102">
        <w:rPr>
          <w:szCs w:val="24"/>
        </w:rPr>
        <w:t xml:space="preserve"> </w:t>
      </w:r>
    </w:p>
    <w:p w:rsidR="00EF13E4" w:rsidRDefault="00EF13E4" w:rsidP="00EF13E4">
      <w:pPr>
        <w:pStyle w:val="ConsPlusNormal"/>
        <w:ind w:left="284" w:right="-284"/>
        <w:rPr>
          <w:szCs w:val="24"/>
        </w:rPr>
      </w:pPr>
    </w:p>
    <w:p w:rsidR="00EF13E4" w:rsidRDefault="00EF13E4" w:rsidP="00EF13E4">
      <w:pPr>
        <w:pStyle w:val="ConsPlusNormal"/>
        <w:ind w:left="284" w:right="-284"/>
        <w:jc w:val="center"/>
        <w:rPr>
          <w:b/>
          <w:bCs/>
          <w:szCs w:val="24"/>
        </w:rPr>
      </w:pPr>
      <w:r w:rsidRPr="004918D5">
        <w:rPr>
          <w:b/>
          <w:bCs/>
          <w:szCs w:val="24"/>
        </w:rPr>
        <w:t xml:space="preserve">Критерии отнесения объектов муниципального </w:t>
      </w:r>
      <w:proofErr w:type="gramStart"/>
      <w:r w:rsidRPr="004918D5">
        <w:rPr>
          <w:b/>
          <w:bCs/>
          <w:szCs w:val="24"/>
        </w:rPr>
        <w:t>контроля</w:t>
      </w:r>
      <w:r w:rsidRPr="005F50BA">
        <w:rPr>
          <w:rFonts w:eastAsia="Calibri"/>
          <w:lang w:eastAsia="en-US"/>
        </w:rPr>
        <w:t xml:space="preserve"> </w:t>
      </w:r>
      <w:r w:rsidRPr="005F50BA">
        <w:rPr>
          <w:rFonts w:eastAsia="Calibri"/>
          <w:b/>
          <w:bCs/>
          <w:lang w:eastAsia="en-US"/>
        </w:rPr>
        <w:t>за</w:t>
      </w:r>
      <w:proofErr w:type="gramEnd"/>
      <w:r w:rsidRPr="005F50BA">
        <w:rPr>
          <w:rFonts w:eastAsia="Calibri"/>
          <w:b/>
          <w:bCs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города-курорта Кисловодска</w:t>
      </w:r>
      <w:r w:rsidRPr="004918D5">
        <w:rPr>
          <w:b/>
          <w:bCs/>
          <w:szCs w:val="24"/>
        </w:rPr>
        <w:t xml:space="preserve"> к категориям риска причинения вреда (ущерба) </w:t>
      </w:r>
    </w:p>
    <w:p w:rsidR="00EF13E4" w:rsidRPr="004918D5" w:rsidRDefault="00EF13E4" w:rsidP="00EF13E4">
      <w:pPr>
        <w:pStyle w:val="ConsPlusNormal"/>
        <w:ind w:left="284" w:right="-284"/>
        <w:jc w:val="center"/>
        <w:rPr>
          <w:b/>
          <w:bCs/>
          <w:szCs w:val="24"/>
        </w:rPr>
      </w:pPr>
      <w:r w:rsidRPr="004918D5">
        <w:rPr>
          <w:b/>
          <w:bCs/>
          <w:szCs w:val="24"/>
        </w:rPr>
        <w:t>охраняемым законом ценностям</w:t>
      </w:r>
    </w:p>
    <w:p w:rsidR="00EF13E4" w:rsidRDefault="00EF13E4" w:rsidP="00EF13E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EF13E4" w:rsidRDefault="00EF13E4" w:rsidP="00EF13E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793"/>
        <w:gridCol w:w="1996"/>
      </w:tblGrid>
      <w:tr w:rsidR="00EF13E4" w:rsidTr="008375BB">
        <w:trPr>
          <w:trHeight w:val="545"/>
        </w:trPr>
        <w:tc>
          <w:tcPr>
            <w:tcW w:w="567" w:type="dxa"/>
          </w:tcPr>
          <w:p w:rsidR="00EF13E4" w:rsidRPr="002C486E" w:rsidRDefault="00EF13E4" w:rsidP="008375BB">
            <w:pPr>
              <w:widowControl w:val="0"/>
              <w:spacing w:line="240" w:lineRule="exact"/>
              <w:ind w:left="284"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№</w:t>
            </w:r>
          </w:p>
          <w:p w:rsidR="00EF13E4" w:rsidRDefault="00EF13E4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 xml:space="preserve">   </w:t>
            </w:r>
            <w:proofErr w:type="gramStart"/>
            <w:r w:rsidRPr="002C486E">
              <w:rPr>
                <w:sz w:val="28"/>
                <w:szCs w:val="28"/>
              </w:rPr>
              <w:t>п</w:t>
            </w:r>
            <w:proofErr w:type="gramEnd"/>
            <w:r w:rsidRPr="002C486E">
              <w:rPr>
                <w:sz w:val="28"/>
                <w:szCs w:val="28"/>
              </w:rPr>
              <w:t>/п</w:t>
            </w:r>
          </w:p>
        </w:tc>
        <w:tc>
          <w:tcPr>
            <w:tcW w:w="6793" w:type="dxa"/>
          </w:tcPr>
          <w:p w:rsidR="00EF13E4" w:rsidRDefault="00EF13E4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</w:p>
          <w:p w:rsidR="00EF13E4" w:rsidRPr="002C486E" w:rsidRDefault="00EF13E4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Критери</w:t>
            </w:r>
            <w:r>
              <w:rPr>
                <w:sz w:val="28"/>
                <w:szCs w:val="28"/>
              </w:rPr>
              <w:t>и</w:t>
            </w:r>
            <w:r w:rsidRPr="002C486E">
              <w:rPr>
                <w:sz w:val="28"/>
                <w:szCs w:val="28"/>
              </w:rPr>
              <w:t xml:space="preserve"> отнесения объектов муниципального контроля</w:t>
            </w:r>
            <w:r>
              <w:rPr>
                <w:sz w:val="28"/>
                <w:szCs w:val="28"/>
              </w:rPr>
              <w:t xml:space="preserve"> к категориям риска причинения вреда (ущерба) охраняемым законом ценностям</w:t>
            </w:r>
          </w:p>
        </w:tc>
        <w:tc>
          <w:tcPr>
            <w:tcW w:w="1996" w:type="dxa"/>
          </w:tcPr>
          <w:p w:rsidR="00EF13E4" w:rsidRPr="002C486E" w:rsidRDefault="00EF13E4" w:rsidP="008375BB">
            <w:pPr>
              <w:widowControl w:val="0"/>
              <w:spacing w:line="240" w:lineRule="exact"/>
              <w:ind w:right="-101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Категории риска</w:t>
            </w:r>
            <w:r>
              <w:rPr>
                <w:sz w:val="28"/>
                <w:szCs w:val="28"/>
              </w:rPr>
              <w:t xml:space="preserve"> причинения вреда (ущерба) охраняемым законом ценностям</w:t>
            </w:r>
          </w:p>
        </w:tc>
      </w:tr>
      <w:tr w:rsidR="00EF13E4" w:rsidTr="008375BB">
        <w:trPr>
          <w:trHeight w:val="413"/>
        </w:trPr>
        <w:tc>
          <w:tcPr>
            <w:tcW w:w="567" w:type="dxa"/>
          </w:tcPr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EF13E4" w:rsidRPr="002C486E" w:rsidRDefault="00EF13E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C486E">
              <w:rPr>
                <w:sz w:val="28"/>
                <w:szCs w:val="28"/>
              </w:rPr>
              <w:t>1</w:t>
            </w:r>
          </w:p>
        </w:tc>
        <w:tc>
          <w:tcPr>
            <w:tcW w:w="6793" w:type="dxa"/>
          </w:tcPr>
          <w:p w:rsidR="00EF13E4" w:rsidRDefault="00EF13E4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</w:p>
          <w:p w:rsidR="00EF13E4" w:rsidRPr="002C486E" w:rsidRDefault="00EF13E4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:rsidR="00EF13E4" w:rsidRDefault="00EF13E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  <w:p w:rsidR="00EF13E4" w:rsidRPr="002C486E" w:rsidRDefault="00EF13E4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3</w:t>
            </w:r>
          </w:p>
        </w:tc>
      </w:tr>
      <w:tr w:rsidR="00EF13E4" w:rsidTr="008375BB">
        <w:trPr>
          <w:trHeight w:val="2244"/>
        </w:trPr>
        <w:tc>
          <w:tcPr>
            <w:tcW w:w="567" w:type="dxa"/>
          </w:tcPr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Pr="0028683A" w:rsidRDefault="00EF13E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683A">
              <w:rPr>
                <w:sz w:val="28"/>
                <w:szCs w:val="28"/>
              </w:rPr>
              <w:t>1</w:t>
            </w: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EF13E4" w:rsidRDefault="00EF13E4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93" w:type="dxa"/>
          </w:tcPr>
          <w:p w:rsidR="00EF13E4" w:rsidRPr="005F50BA" w:rsidRDefault="00EF13E4" w:rsidP="008375BB">
            <w:pPr>
              <w:ind w:firstLine="528"/>
              <w:jc w:val="both"/>
              <w:rPr>
                <w:sz w:val="28"/>
                <w:szCs w:val="28"/>
              </w:rPr>
            </w:pPr>
            <w:proofErr w:type="gramStart"/>
            <w:r w:rsidRPr="005F50BA">
              <w:rPr>
                <w:sz w:val="28"/>
                <w:szCs w:val="28"/>
              </w:rPr>
              <w:t>Юридические лица при наличии в течение последних трех лет на дату принятия решения об отнесении деятельности юридического лица к категории риска предписания, неисполненного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proofErr w:type="gramEnd"/>
          </w:p>
        </w:tc>
        <w:tc>
          <w:tcPr>
            <w:tcW w:w="1996" w:type="dxa"/>
          </w:tcPr>
          <w:p w:rsidR="00EF13E4" w:rsidRDefault="00EF13E4" w:rsidP="00837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  <w:p w:rsidR="00EF13E4" w:rsidRPr="00A24F09" w:rsidRDefault="00EF13E4" w:rsidP="008375BB">
            <w:pPr>
              <w:rPr>
                <w:sz w:val="28"/>
                <w:szCs w:val="28"/>
              </w:rPr>
            </w:pPr>
          </w:p>
        </w:tc>
      </w:tr>
      <w:tr w:rsidR="00EF13E4" w:rsidTr="008375BB">
        <w:trPr>
          <w:trHeight w:val="1125"/>
        </w:trPr>
        <w:tc>
          <w:tcPr>
            <w:tcW w:w="567" w:type="dxa"/>
          </w:tcPr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EF13E4" w:rsidRPr="00C909AA" w:rsidRDefault="00EF13E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909AA">
              <w:rPr>
                <w:sz w:val="28"/>
                <w:szCs w:val="28"/>
              </w:rPr>
              <w:t>2</w:t>
            </w:r>
          </w:p>
        </w:tc>
        <w:tc>
          <w:tcPr>
            <w:tcW w:w="6793" w:type="dxa"/>
          </w:tcPr>
          <w:p w:rsidR="00EF13E4" w:rsidRPr="005F50BA" w:rsidRDefault="00EF13E4" w:rsidP="008375BB">
            <w:pPr>
              <w:widowControl w:val="0"/>
              <w:ind w:firstLine="528"/>
              <w:jc w:val="both"/>
              <w:rPr>
                <w:sz w:val="28"/>
                <w:szCs w:val="28"/>
              </w:rPr>
            </w:pPr>
            <w:proofErr w:type="gramStart"/>
            <w:r w:rsidRPr="005F50BA">
              <w:rPr>
                <w:sz w:val="28"/>
                <w:szCs w:val="28"/>
              </w:rPr>
              <w:t xml:space="preserve">Юридические лица, при наличии в течение последних пяти лет на дату принятия решения об отнесении деятельности юридического лица к категории риска предписания, выданного по итогам </w:t>
            </w:r>
            <w:r w:rsidRPr="005F50BA">
              <w:rPr>
                <w:sz w:val="28"/>
                <w:szCs w:val="28"/>
              </w:rPr>
              <w:lastRenderedPageBreak/>
              <w:t>проведения плановой или внеплановой проверки по факту выявленных нарушений за несоблюдение обязательных требований, подлежащих исполнению</w:t>
            </w:r>
            <w:r>
              <w:rPr>
                <w:sz w:val="28"/>
                <w:szCs w:val="28"/>
              </w:rPr>
              <w:t xml:space="preserve"> </w:t>
            </w:r>
            <w:r w:rsidRPr="005F50BA">
              <w:rPr>
                <w:sz w:val="28"/>
                <w:szCs w:val="28"/>
              </w:rPr>
              <w:t>(соблюдению)</w:t>
            </w:r>
            <w:r>
              <w:rPr>
                <w:sz w:val="28"/>
                <w:szCs w:val="28"/>
              </w:rPr>
              <w:t xml:space="preserve"> </w:t>
            </w:r>
            <w:r w:rsidRPr="005F50BA">
              <w:rPr>
                <w:sz w:val="28"/>
                <w:szCs w:val="28"/>
              </w:rPr>
              <w:t>контролируемыми лицами при осуществлении деятельности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proofErr w:type="gramEnd"/>
          </w:p>
        </w:tc>
        <w:tc>
          <w:tcPr>
            <w:tcW w:w="1996" w:type="dxa"/>
          </w:tcPr>
          <w:p w:rsidR="00EF13E4" w:rsidRDefault="00EF13E4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  <w:p w:rsidR="00EF13E4" w:rsidRPr="0028683A" w:rsidRDefault="00EF13E4" w:rsidP="008375B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28683A">
              <w:rPr>
                <w:sz w:val="28"/>
                <w:szCs w:val="28"/>
              </w:rPr>
              <w:t>Умеренный</w:t>
            </w:r>
            <w:r>
              <w:rPr>
                <w:sz w:val="28"/>
                <w:szCs w:val="28"/>
              </w:rPr>
              <w:t xml:space="preserve"> </w:t>
            </w:r>
            <w:r w:rsidRPr="0028683A">
              <w:rPr>
                <w:sz w:val="28"/>
                <w:szCs w:val="28"/>
              </w:rPr>
              <w:t>риск</w:t>
            </w:r>
          </w:p>
        </w:tc>
      </w:tr>
      <w:tr w:rsidR="00EF13E4" w:rsidTr="008375BB">
        <w:trPr>
          <w:trHeight w:val="975"/>
        </w:trPr>
        <w:tc>
          <w:tcPr>
            <w:tcW w:w="567" w:type="dxa"/>
          </w:tcPr>
          <w:p w:rsidR="00EF13E4" w:rsidRDefault="00EF13E4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EF13E4" w:rsidRPr="00461246" w:rsidRDefault="00EF13E4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1246">
              <w:rPr>
                <w:sz w:val="28"/>
                <w:szCs w:val="28"/>
              </w:rPr>
              <w:t>3</w:t>
            </w:r>
          </w:p>
        </w:tc>
        <w:tc>
          <w:tcPr>
            <w:tcW w:w="6793" w:type="dxa"/>
          </w:tcPr>
          <w:p w:rsidR="00EF13E4" w:rsidRDefault="00EF13E4" w:rsidP="008375BB">
            <w:pPr>
              <w:widowControl w:val="0"/>
              <w:spacing w:line="240" w:lineRule="exact"/>
              <w:ind w:left="103" w:right="33"/>
              <w:jc w:val="both"/>
              <w:rPr>
                <w:sz w:val="28"/>
                <w:szCs w:val="28"/>
              </w:rPr>
            </w:pPr>
          </w:p>
          <w:p w:rsidR="00EF13E4" w:rsidRPr="00461246" w:rsidRDefault="00EF13E4" w:rsidP="008375BB">
            <w:pPr>
              <w:widowControl w:val="0"/>
              <w:spacing w:line="240" w:lineRule="exact"/>
              <w:ind w:left="103" w:right="33" w:firstLine="425"/>
              <w:jc w:val="both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 xml:space="preserve">Объекты муниципального контроля, не отнесенные </w:t>
            </w:r>
            <w:r>
              <w:rPr>
                <w:sz w:val="28"/>
                <w:szCs w:val="28"/>
              </w:rPr>
              <w:t xml:space="preserve">к </w:t>
            </w:r>
            <w:r w:rsidRPr="00461246">
              <w:rPr>
                <w:sz w:val="28"/>
                <w:szCs w:val="28"/>
              </w:rPr>
              <w:t>категориям среднего и умеренного риска</w:t>
            </w:r>
          </w:p>
        </w:tc>
        <w:tc>
          <w:tcPr>
            <w:tcW w:w="1996" w:type="dxa"/>
          </w:tcPr>
          <w:p w:rsidR="00EF13E4" w:rsidRDefault="00EF13E4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</w:p>
          <w:p w:rsidR="00EF13E4" w:rsidRPr="00461246" w:rsidRDefault="00EF13E4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Низкий риск</w:t>
            </w:r>
          </w:p>
        </w:tc>
      </w:tr>
    </w:tbl>
    <w:p w:rsidR="00EF13E4" w:rsidRDefault="00EF13E4" w:rsidP="00EF13E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EF13E4" w:rsidRDefault="00EF13E4" w:rsidP="00EF13E4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EF13E4" w:rsidRDefault="00EF13E4" w:rsidP="00EF13E4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:rsidR="00EF13E4" w:rsidRDefault="00EF13E4" w:rsidP="00EF13E4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:rsidR="00EF13E4" w:rsidRDefault="00EF13E4" w:rsidP="00EF13E4">
      <w:pPr>
        <w:shd w:val="clear" w:color="auto" w:fill="FFFFFF"/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:rsidR="00EF13E4" w:rsidRDefault="00EF13E4" w:rsidP="00EF13E4">
      <w:pPr>
        <w:shd w:val="clear" w:color="auto" w:fill="FFFFFF"/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     Л.Н. Волошина</w:t>
      </w:r>
    </w:p>
    <w:p w:rsidR="003824D0" w:rsidRDefault="003824D0">
      <w:bookmarkStart w:id="0" w:name="_GoBack"/>
      <w:bookmarkEnd w:id="0"/>
    </w:p>
    <w:sectPr w:rsidR="0038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21"/>
    <w:rsid w:val="000C6321"/>
    <w:rsid w:val="003824D0"/>
    <w:rsid w:val="00E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E4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F1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F13E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E4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F1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F13E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2025-04-24T13:47:00Z</dcterms:created>
  <dcterms:modified xsi:type="dcterms:W3CDTF">2025-04-24T13:47:00Z</dcterms:modified>
</cp:coreProperties>
</file>